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Understanding Questions – Using Blank levels</w:t>
      </w:r>
    </w:p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 xml:space="preserve">When developing understanding and use of sentences it is important for children to have a clear understanding of the question words and what they relate to, for example </w:t>
      </w:r>
      <w:r w:rsidRPr="00146E98">
        <w:rPr>
          <w:rFonts w:ascii="Comic Sans MS" w:eastAsia="Times New Roman" w:hAnsi="Comic Sans MS" w:cs="Arial"/>
          <w:b/>
          <w:bCs/>
          <w:color w:val="0070C0"/>
          <w:kern w:val="0"/>
          <w:sz w:val="20"/>
          <w:szCs w:val="20"/>
          <w:lang w:eastAsia="en-GB"/>
          <w14:ligatures w14:val="none"/>
        </w:rPr>
        <w:t>where</w:t>
      </w: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 xml:space="preserve"> relates to </w:t>
      </w:r>
      <w:r w:rsidRPr="00146E98">
        <w:rPr>
          <w:rFonts w:ascii="Comic Sans MS" w:eastAsia="Times New Roman" w:hAnsi="Comic Sans MS" w:cs="Arial"/>
          <w:b/>
          <w:bCs/>
          <w:color w:val="0070C0"/>
          <w:kern w:val="0"/>
          <w:sz w:val="20"/>
          <w:szCs w:val="20"/>
          <w:lang w:eastAsia="en-GB"/>
          <w14:ligatures w14:val="none"/>
        </w:rPr>
        <w:t>places</w:t>
      </w: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 xml:space="preserve"> and </w:t>
      </w:r>
      <w:r w:rsidRPr="00146E98">
        <w:rPr>
          <w:rFonts w:ascii="Comic Sans MS" w:eastAsia="Times New Roman" w:hAnsi="Comic Sans MS" w:cs="Arial"/>
          <w:b/>
          <w:bCs/>
          <w:color w:val="0070C0"/>
          <w:kern w:val="0"/>
          <w:sz w:val="20"/>
          <w:szCs w:val="20"/>
          <w:lang w:eastAsia="en-GB"/>
          <w14:ligatures w14:val="none"/>
        </w:rPr>
        <w:t>who</w:t>
      </w: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 xml:space="preserve"> relates to </w:t>
      </w:r>
      <w:r w:rsidRPr="00146E98">
        <w:rPr>
          <w:rFonts w:ascii="Comic Sans MS" w:eastAsia="Times New Roman" w:hAnsi="Comic Sans MS" w:cs="Arial"/>
          <w:b/>
          <w:bCs/>
          <w:color w:val="0070C0"/>
          <w:kern w:val="0"/>
          <w:sz w:val="20"/>
          <w:szCs w:val="20"/>
          <w:lang w:eastAsia="en-GB"/>
          <w14:ligatures w14:val="none"/>
        </w:rPr>
        <w:t>people.</w:t>
      </w:r>
    </w:p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Understanding question words such as what, where, who is a good first step. Children start by understanding </w:t>
      </w:r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concrete language</w:t>
      </w:r>
      <w:r w:rsidRPr="00146E98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– the here and now and progressing through to more abstract language.</w:t>
      </w: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>The early stages involve understanding and using language for purposes of labelling or describing characters, objects, and actions</w:t>
      </w:r>
      <w:r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>. T</w:t>
      </w: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>he later</w:t>
      </w:r>
      <w:r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>,</w:t>
      </w: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 xml:space="preserve"> more abstract levels</w:t>
      </w:r>
      <w:r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>,</w:t>
      </w:r>
      <w:r w:rsidRPr="00146E98"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  <w:t xml:space="preserve"> involve using language for purposes of inferencing, analysing, hypothesising, or reflecting on and integrating ideas and information.</w:t>
      </w:r>
    </w:p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0070C0"/>
          <w:kern w:val="0"/>
          <w:sz w:val="20"/>
          <w:szCs w:val="20"/>
          <w:lang w:eastAsia="en-GB"/>
          <w14:ligatures w14:val="none"/>
        </w:rPr>
      </w:pPr>
    </w:p>
    <w:p w:rsidR="00146E98" w:rsidRPr="00146E98" w:rsidRDefault="00146E98" w:rsidP="00146E98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Blank’s Levels of Questions</w:t>
      </w:r>
    </w:p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Blank Level One Questions:</w:t>
      </w:r>
      <w:r w:rsidRPr="00146E98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146E98">
        <w:rPr>
          <w:rFonts w:ascii="Comic Sans MS" w:eastAsia="Times New Roman" w:hAnsi="Comic Sans MS" w:cs="Arial"/>
          <w:b/>
          <w:bCs/>
          <w:i/>
          <w:iCs/>
          <w:color w:val="231F20"/>
          <w:kern w:val="0"/>
          <w:sz w:val="20"/>
          <w:szCs w:val="20"/>
          <w:lang w:eastAsia="en-GB"/>
          <w14:ligatures w14:val="none"/>
        </w:rPr>
        <w:t>look at it' </w:t>
      </w:r>
      <w:r w:rsidRPr="00146E98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- talking about objects that are present.</w:t>
      </w:r>
    </w:p>
    <w:tbl>
      <w:tblPr>
        <w:tblW w:w="978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4231"/>
      </w:tblGrid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Matching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Find one like this</w:t>
            </w:r>
          </w:p>
        </w:tc>
      </w:tr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Source of noise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can you hear?</w:t>
            </w:r>
          </w:p>
        </w:tc>
      </w:tr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Naming objects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is it?</w:t>
            </w:r>
          </w:p>
        </w:tc>
      </w:tr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Naming people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Who is that?</w:t>
            </w:r>
          </w:p>
        </w:tc>
      </w:tr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Naming actions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are you doing?</w:t>
            </w:r>
          </w:p>
        </w:tc>
      </w:tr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Imitation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Say this</w:t>
            </w:r>
          </w:p>
        </w:tc>
      </w:tr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Remembering objects in book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did you see?</w:t>
            </w:r>
          </w:p>
        </w:tc>
      </w:tr>
      <w:tr w:rsidR="00146E98" w:rsidRPr="00146E98" w:rsidTr="00146E98">
        <w:trPr>
          <w:trHeight w:val="60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Remembering seen/done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did you see/do?</w:t>
            </w:r>
          </w:p>
        </w:tc>
      </w:tr>
    </w:tbl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 xml:space="preserve">Blank Level </w:t>
      </w:r>
      <w:proofErr w:type="gramStart"/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Two  Questions</w:t>
      </w:r>
      <w:proofErr w:type="gramEnd"/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:</w:t>
      </w:r>
      <w:r w:rsidRPr="00146E98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that require the child to focus on specific aspects and events and/or integrate separate components</w:t>
      </w:r>
    </w:p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tbl>
      <w:tblPr>
        <w:tblW w:w="978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917"/>
      </w:tblGrid>
      <w:tr w:rsidR="00146E98" w:rsidRPr="00146E98" w:rsidTr="00146E98">
        <w:trPr>
          <w:trHeight w:val="57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Describe scene </w:t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What's happened?</w:t>
            </w:r>
          </w:p>
        </w:tc>
      </w:tr>
      <w:tr w:rsidR="00146E98" w:rsidRPr="00146E98" w:rsidTr="00146E98">
        <w:trPr>
          <w:trHeight w:val="57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Remembering information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Who/what/where?</w:t>
            </w:r>
          </w:p>
        </w:tc>
      </w:tr>
      <w:tr w:rsidR="00146E98" w:rsidRPr="00146E98" w:rsidTr="00146E98">
        <w:trPr>
          <w:trHeight w:val="86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Finishing sentence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Finish this sentence… Jack and Jill went up the….</w:t>
            </w:r>
          </w:p>
        </w:tc>
      </w:tr>
      <w:tr w:rsidR="00146E98" w:rsidRPr="00146E98" w:rsidTr="00146E98">
        <w:trPr>
          <w:trHeight w:val="199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Identify and describe characteristics of objects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size is it?</w:t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What shape?</w:t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What colour?</w:t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How many?</w:t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How does it taste/smell/feel?</w:t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Where is it?</w:t>
            </w:r>
          </w:p>
        </w:tc>
      </w:tr>
      <w:tr w:rsidR="00146E98" w:rsidRPr="00146E98" w:rsidTr="00146E98">
        <w:trPr>
          <w:trHeight w:val="57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Identifying object functions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Show me the one we use for …</w:t>
            </w:r>
          </w:p>
        </w:tc>
      </w:tr>
      <w:tr w:rsidR="00146E98" w:rsidRPr="00146E98" w:rsidTr="00146E98">
        <w:trPr>
          <w:trHeight w:val="57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Identifying differences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How are these different?</w:t>
            </w:r>
          </w:p>
        </w:tc>
      </w:tr>
      <w:tr w:rsidR="00146E98" w:rsidRPr="00146E98" w:rsidTr="00146E98">
        <w:trPr>
          <w:trHeight w:val="86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Naming object from category </w:t>
            </w: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Tell me something that's a type of …</w:t>
            </w:r>
          </w:p>
        </w:tc>
      </w:tr>
    </w:tbl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Blank Level Three Questions:</w:t>
      </w:r>
      <w:r w:rsidRPr="00146E98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that require the child to process information that is not perceptually present</w:t>
      </w:r>
    </w:p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tbl>
      <w:tblPr>
        <w:tblW w:w="978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774"/>
      </w:tblGrid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Describe event might happen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will happen next?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Give directions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Tell me what to do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Assume role of another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would/could/might he say?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Follow 2 stage directions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Do … and then …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Identify similarities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How are these the same?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Identify objects by exclusion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Which one is not …?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Identify alternative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Tell me something else we could use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Change pictures in sequence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Make these into a story</w:t>
            </w:r>
          </w:p>
          <w:p w:rsidR="00146E98" w:rsidRPr="00146E98" w:rsidRDefault="00146E98" w:rsidP="00146E98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Show me the first/middle/last </w:t>
            </w:r>
          </w:p>
        </w:tc>
      </w:tr>
      <w:tr w:rsidR="00146E98" w:rsidRPr="00146E98" w:rsidTr="0014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Describe sequence of pictures logically 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Tell me the story</w:t>
            </w:r>
          </w:p>
        </w:tc>
      </w:tr>
    </w:tbl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</w:p>
    <w:p w:rsid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146E98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Blank Level Four Questions:</w:t>
      </w:r>
      <w:r w:rsidRPr="00146E98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Encourages the child to think about the relationships between objects, people and events and give reasons as to why things happen.</w:t>
      </w:r>
    </w:p>
    <w:p w:rsidR="00146E98" w:rsidRPr="00146E98" w:rsidRDefault="00146E98" w:rsidP="00146E98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tbl>
      <w:tblPr>
        <w:tblW w:w="978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1"/>
        <w:gridCol w:w="4250"/>
      </w:tblGrid>
      <w:tr w:rsidR="00146E98" w:rsidRPr="00146E98" w:rsidTr="00146E98">
        <w:trPr>
          <w:trHeight w:val="57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Predicting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will happen if …</w:t>
            </w:r>
          </w:p>
        </w:tc>
      </w:tr>
      <w:tr w:rsidR="00146E98" w:rsidRPr="00146E98" w:rsidTr="00146E98">
        <w:trPr>
          <w:trHeight w:val="57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Justifying prediction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Why?</w:t>
            </w:r>
          </w:p>
        </w:tc>
      </w:tr>
      <w:tr w:rsidR="00146E98" w:rsidRPr="00146E98" w:rsidTr="00146E98">
        <w:trPr>
          <w:trHeight w:val="57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Identifying cause of event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Why did it happen?</w:t>
            </w:r>
          </w:p>
        </w:tc>
      </w:tr>
      <w:tr w:rsidR="00146E98" w:rsidRPr="00146E98" w:rsidTr="00146E98">
        <w:trPr>
          <w:trHeight w:val="57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Provide solution to problem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could you do?</w:t>
            </w:r>
          </w:p>
        </w:tc>
      </w:tr>
      <w:tr w:rsidR="00146E98" w:rsidRPr="00146E98" w:rsidTr="00146E98">
        <w:trPr>
          <w:trHeight w:val="57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Explaining obstacles to solution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Why can't we …</w:t>
            </w:r>
          </w:p>
        </w:tc>
      </w:tr>
      <w:tr w:rsidR="00146E98" w:rsidRPr="00146E98" w:rsidTr="00146E98">
        <w:trPr>
          <w:trHeight w:val="57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Explaining observation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How can we tell?</w:t>
            </w:r>
          </w:p>
        </w:tc>
      </w:tr>
      <w:tr w:rsidR="00146E98" w:rsidRPr="00146E98" w:rsidTr="00146E98">
        <w:trPr>
          <w:trHeight w:val="57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Selecting means to goal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What could we use?</w:t>
            </w:r>
          </w:p>
        </w:tc>
      </w:tr>
      <w:tr w:rsidR="00146E98" w:rsidRPr="00146E98" w:rsidTr="00146E98">
        <w:trPr>
          <w:trHeight w:val="56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Explaining means to goal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Why should we use that?</w:t>
            </w:r>
          </w:p>
        </w:tc>
      </w:tr>
      <w:tr w:rsidR="00146E98" w:rsidRPr="00146E98" w:rsidTr="00146E98">
        <w:trPr>
          <w:trHeight w:val="58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Explaining construction of objects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6E98" w:rsidRPr="00146E98" w:rsidRDefault="00146E98" w:rsidP="00146E98">
            <w:pPr>
              <w:spacing w:after="30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46E98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Why is … made of …?</w:t>
            </w:r>
          </w:p>
        </w:tc>
      </w:tr>
    </w:tbl>
    <w:p w:rsidR="003D36CF" w:rsidRPr="00146E98" w:rsidRDefault="003D36CF">
      <w:pPr>
        <w:rPr>
          <w:rFonts w:ascii="Comic Sans MS" w:hAnsi="Comic Sans MS"/>
          <w:sz w:val="20"/>
          <w:szCs w:val="20"/>
        </w:rPr>
      </w:pPr>
    </w:p>
    <w:sectPr w:rsidR="003D36CF" w:rsidRPr="00146E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F91" w:rsidRDefault="001E6F91" w:rsidP="00146E98">
      <w:pPr>
        <w:spacing w:after="0" w:line="240" w:lineRule="auto"/>
      </w:pPr>
      <w:r>
        <w:separator/>
      </w:r>
    </w:p>
  </w:endnote>
  <w:endnote w:type="continuationSeparator" w:id="0">
    <w:p w:rsidR="001E6F91" w:rsidRDefault="001E6F91" w:rsidP="0014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F91" w:rsidRDefault="001E6F91" w:rsidP="00146E98">
      <w:pPr>
        <w:spacing w:after="0" w:line="240" w:lineRule="auto"/>
      </w:pPr>
      <w:r>
        <w:separator/>
      </w:r>
    </w:p>
  </w:footnote>
  <w:footnote w:type="continuationSeparator" w:id="0">
    <w:p w:rsidR="001E6F91" w:rsidRDefault="001E6F91" w:rsidP="0014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E98" w:rsidRDefault="00146E98">
    <w:pPr>
      <w:pStyle w:val="Header"/>
    </w:pPr>
    <w:r>
      <w:t>Acknowledgments to Leeds NHS</w:t>
    </w:r>
  </w:p>
  <w:p w:rsidR="00146E98" w:rsidRDefault="00146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98"/>
    <w:rsid w:val="00146E98"/>
    <w:rsid w:val="001E6F91"/>
    <w:rsid w:val="003D36CF"/>
    <w:rsid w:val="00435A43"/>
    <w:rsid w:val="00681D23"/>
    <w:rsid w:val="0080644B"/>
    <w:rsid w:val="00E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CB1D"/>
  <w15:chartTrackingRefBased/>
  <w15:docId w15:val="{D1FEC6A3-18BF-441E-A24F-7A6E93D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E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98"/>
  </w:style>
  <w:style w:type="paragraph" w:styleId="Footer">
    <w:name w:val="footer"/>
    <w:basedOn w:val="Normal"/>
    <w:link w:val="FooterChar"/>
    <w:uiPriority w:val="99"/>
    <w:unhideWhenUsed/>
    <w:rsid w:val="0014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Stephanie Maddison</cp:lastModifiedBy>
  <cp:revision>1</cp:revision>
  <dcterms:created xsi:type="dcterms:W3CDTF">2025-07-03T09:50:00Z</dcterms:created>
  <dcterms:modified xsi:type="dcterms:W3CDTF">2025-07-03T09:50:00Z</dcterms:modified>
</cp:coreProperties>
</file>