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DBEA" w14:textId="6F14B696" w:rsidR="00AA40AB" w:rsidRPr="00174F5B" w:rsidRDefault="00AA40AB" w:rsidP="00AA40AB">
      <w:pPr>
        <w:pStyle w:val="ListParagraph"/>
        <w:jc w:val="center"/>
      </w:pPr>
      <w:r>
        <w:rPr>
          <w:b/>
          <w:bCs/>
          <w:sz w:val="28"/>
          <w:szCs w:val="28"/>
        </w:rPr>
        <w:t>Speech Sounds – Oldham’s Guide Who &amp; When to refer</w:t>
      </w:r>
    </w:p>
    <w:p w14:paraId="38390E47" w14:textId="77777777" w:rsidR="006D3A96" w:rsidRDefault="006D3A96" w:rsidP="00AA40AB">
      <w:pPr>
        <w:spacing w:after="0"/>
      </w:pPr>
    </w:p>
    <w:p w14:paraId="7FA40B4A" w14:textId="0728000F" w:rsidR="00445600" w:rsidRDefault="00445600" w:rsidP="00445600">
      <w:pPr>
        <w:pStyle w:val="ListParagraph"/>
        <w:numPr>
          <w:ilvl w:val="0"/>
          <w:numId w:val="2"/>
        </w:numPr>
        <w:spacing w:after="0"/>
      </w:pPr>
      <w:r w:rsidRPr="00E26CE8">
        <w:rPr>
          <w:b/>
          <w:bCs/>
          <w:sz w:val="28"/>
          <w:szCs w:val="28"/>
        </w:rPr>
        <w:t xml:space="preserve">Wellcomm Screen </w:t>
      </w:r>
      <w:r>
        <w:t xml:space="preserve">– Complete the Wellcomm screen to </w:t>
      </w:r>
      <w:r w:rsidR="00C360AE">
        <w:t>check</w:t>
      </w:r>
      <w:r>
        <w:t xml:space="preserve"> the child’s language skills.</w:t>
      </w:r>
    </w:p>
    <w:p w14:paraId="4CAD03F9" w14:textId="77777777" w:rsidR="006D3A96" w:rsidRDefault="006D3A96" w:rsidP="00445600">
      <w:pPr>
        <w:pStyle w:val="ListParagraph"/>
        <w:spacing w:after="0"/>
        <w:rPr>
          <w:i/>
          <w:iCs/>
          <w:sz w:val="20"/>
          <w:szCs w:val="20"/>
        </w:rPr>
      </w:pPr>
      <w:r w:rsidRPr="00AA40AB">
        <w:rPr>
          <w:i/>
          <w:iCs/>
          <w:sz w:val="20"/>
          <w:szCs w:val="20"/>
        </w:rPr>
        <w:t xml:space="preserve">Why? </w:t>
      </w:r>
    </w:p>
    <w:p w14:paraId="13A2B5CC" w14:textId="10CC2900" w:rsidR="002D49C1" w:rsidRPr="004471E2" w:rsidRDefault="002D49C1" w:rsidP="00445600">
      <w:pPr>
        <w:pStyle w:val="ListParagraph"/>
        <w:spacing w:after="0"/>
        <w:rPr>
          <w:i/>
          <w:iCs/>
        </w:rPr>
      </w:pPr>
      <w:r w:rsidRPr="004471E2">
        <w:rPr>
          <w:i/>
          <w:iCs/>
        </w:rPr>
        <w:t>If a child has language difficulties, or demonstrates a delayed pattern of language development, it is common for their speech sounds development to also be delayed. Where children have difficulties with language and/or attention and listening it is important to work on these skills first as they will help them to access specialist speech therapy if needed in the future</w:t>
      </w:r>
      <w:r w:rsidR="00C410E9">
        <w:rPr>
          <w:i/>
          <w:iCs/>
        </w:rPr>
        <w:t>.</w:t>
      </w:r>
    </w:p>
    <w:p w14:paraId="360A9F34" w14:textId="77777777" w:rsidR="00445600" w:rsidRDefault="00445600" w:rsidP="00C410E9">
      <w:pPr>
        <w:spacing w:after="0"/>
      </w:pPr>
    </w:p>
    <w:p w14:paraId="135FDC90" w14:textId="77777777" w:rsidR="001A1B52" w:rsidRDefault="00445600" w:rsidP="006D3A96">
      <w:pPr>
        <w:pStyle w:val="ListParagraph"/>
        <w:numPr>
          <w:ilvl w:val="0"/>
          <w:numId w:val="2"/>
        </w:numPr>
        <w:spacing w:after="0"/>
      </w:pPr>
      <w:r>
        <w:t xml:space="preserve"> </w:t>
      </w:r>
      <w:r w:rsidRPr="00E26CE8">
        <w:rPr>
          <w:b/>
          <w:bCs/>
          <w:sz w:val="28"/>
          <w:szCs w:val="28"/>
        </w:rPr>
        <w:t>Bedfordshire Speech Sounds Screen</w:t>
      </w:r>
      <w:r w:rsidRPr="00E26CE8">
        <w:rPr>
          <w:sz w:val="28"/>
          <w:szCs w:val="28"/>
        </w:rPr>
        <w:t xml:space="preserve"> </w:t>
      </w:r>
      <w:r>
        <w:t>– complete the entire screen with any child whom you are considering referring to the speech and language therapy service where you have concerns with their speech sounds/intelligibility</w:t>
      </w:r>
      <w:r w:rsidR="006D3A96">
        <w:t xml:space="preserve">. </w:t>
      </w:r>
    </w:p>
    <w:p w14:paraId="0A147FCA" w14:textId="77777777" w:rsidR="001A1B52" w:rsidRDefault="001A1B52" w:rsidP="001A1B52">
      <w:pPr>
        <w:pStyle w:val="ListParagraph"/>
        <w:spacing w:after="0"/>
      </w:pPr>
    </w:p>
    <w:p w14:paraId="78095CB0" w14:textId="016B26A8" w:rsidR="00AA40AB" w:rsidRPr="004471E2" w:rsidRDefault="006D3A96" w:rsidP="00AA40AB">
      <w:pPr>
        <w:pStyle w:val="ListParagraph"/>
        <w:spacing w:after="0"/>
        <w:rPr>
          <w:i/>
          <w:iCs/>
        </w:rPr>
      </w:pPr>
      <w:r w:rsidRPr="004471E2">
        <w:rPr>
          <w:i/>
          <w:iCs/>
        </w:rPr>
        <w:t xml:space="preserve"> ‘tick’ or ‘mark’ where a child has pronounced the word accurately and when the child makes an error write the word </w:t>
      </w:r>
      <w:r w:rsidR="002D49C1" w:rsidRPr="004471E2">
        <w:rPr>
          <w:i/>
          <w:iCs/>
        </w:rPr>
        <w:t xml:space="preserve">exactly </w:t>
      </w:r>
      <w:r w:rsidRPr="004471E2">
        <w:rPr>
          <w:i/>
          <w:iCs/>
        </w:rPr>
        <w:t xml:space="preserve">as you have heard it, </w:t>
      </w:r>
      <w:r w:rsidR="000E15CA" w:rsidRPr="004471E2">
        <w:rPr>
          <w:i/>
          <w:iCs/>
        </w:rPr>
        <w:t>so you can check for any patterns (please see below)</w:t>
      </w:r>
    </w:p>
    <w:p w14:paraId="666FDCFC" w14:textId="77777777" w:rsidR="00445600" w:rsidRDefault="00445600" w:rsidP="00445600">
      <w:pPr>
        <w:pStyle w:val="ListParagraph"/>
        <w:spacing w:after="0"/>
      </w:pPr>
    </w:p>
    <w:p w14:paraId="603C2D55" w14:textId="19AED366" w:rsidR="00445600" w:rsidRDefault="00A3271F" w:rsidP="009556CB">
      <w:pPr>
        <w:pStyle w:val="ListParagraph"/>
        <w:numPr>
          <w:ilvl w:val="0"/>
          <w:numId w:val="2"/>
        </w:numPr>
        <w:spacing w:after="0"/>
        <w:ind w:left="714" w:hanging="357"/>
      </w:pPr>
      <w:r w:rsidRPr="00E26CE8">
        <w:rPr>
          <w:b/>
          <w:bCs/>
          <w:sz w:val="28"/>
          <w:szCs w:val="28"/>
        </w:rPr>
        <w:t>Cross Reference the screen with:</w:t>
      </w:r>
      <w:r w:rsidRPr="00E26CE8">
        <w:rPr>
          <w:sz w:val="28"/>
          <w:szCs w:val="28"/>
        </w:rPr>
        <w:t xml:space="preserve"> </w:t>
      </w:r>
      <w:r w:rsidR="00445600" w:rsidRPr="00E26CE8">
        <w:rPr>
          <w:b/>
          <w:bCs/>
          <w:sz w:val="28"/>
          <w:szCs w:val="28"/>
        </w:rPr>
        <w:t xml:space="preserve">Typical </w:t>
      </w:r>
      <w:r w:rsidR="00C410E9">
        <w:rPr>
          <w:b/>
          <w:bCs/>
          <w:sz w:val="28"/>
          <w:szCs w:val="28"/>
        </w:rPr>
        <w:t>Speech Errors</w:t>
      </w:r>
    </w:p>
    <w:p w14:paraId="1F5601E3" w14:textId="2E943F63" w:rsidR="009556CB" w:rsidRDefault="009556CB" w:rsidP="009556CB">
      <w:pPr>
        <w:pStyle w:val="ListParagraph"/>
        <w:spacing w:after="0"/>
      </w:pPr>
      <w:r>
        <w:t xml:space="preserve">As children are developing their speech </w:t>
      </w:r>
      <w:proofErr w:type="gramStart"/>
      <w:r>
        <w:t>sounds</w:t>
      </w:r>
      <w:proofErr w:type="gramEnd"/>
      <w:r>
        <w:t xml:space="preserve"> they will sometimes ‘simplify’ sounds, t</w:t>
      </w:r>
      <w:r w:rsidR="002A2E37">
        <w:t xml:space="preserve">hese are known as typical speech </w:t>
      </w:r>
      <w:r w:rsidR="000E15CA">
        <w:t xml:space="preserve">errors </w:t>
      </w:r>
      <w:r w:rsidR="002A2E37">
        <w:t>and may look like:</w:t>
      </w:r>
      <w:r>
        <w:t xml:space="preserve"> </w:t>
      </w:r>
    </w:p>
    <w:p w14:paraId="36E9E9E2" w14:textId="77777777" w:rsidR="00687088" w:rsidRDefault="00687088" w:rsidP="00687088">
      <w:pPr>
        <w:spacing w:after="0"/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250"/>
        <w:gridCol w:w="1728"/>
        <w:gridCol w:w="1559"/>
        <w:gridCol w:w="1586"/>
        <w:gridCol w:w="1446"/>
        <w:gridCol w:w="1646"/>
        <w:gridCol w:w="1559"/>
      </w:tblGrid>
      <w:tr w:rsidR="006D0961" w14:paraId="6954237B" w14:textId="77777777" w:rsidTr="006D0961">
        <w:tc>
          <w:tcPr>
            <w:tcW w:w="1250" w:type="dxa"/>
          </w:tcPr>
          <w:p w14:paraId="2381220A" w14:textId="77777777" w:rsidR="00687088" w:rsidRDefault="00687088" w:rsidP="00687088">
            <w:r>
              <w:t>Age</w:t>
            </w:r>
          </w:p>
          <w:p w14:paraId="75DECA69" w14:textId="60C2CDE7" w:rsidR="00E26CE8" w:rsidRPr="00E26CE8" w:rsidRDefault="00E26CE8" w:rsidP="0068708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Age simplification process is often present</w:t>
            </w:r>
          </w:p>
        </w:tc>
        <w:tc>
          <w:tcPr>
            <w:tcW w:w="1728" w:type="dxa"/>
          </w:tcPr>
          <w:p w14:paraId="093A2CF2" w14:textId="77777777" w:rsidR="00687088" w:rsidRDefault="00687088" w:rsidP="00687088">
            <w:r>
              <w:t>Stopping</w:t>
            </w:r>
          </w:p>
          <w:p w14:paraId="4EB206BC" w14:textId="172DA4CC" w:rsidR="0053188F" w:rsidRDefault="0053188F" w:rsidP="0053188F">
            <w:pPr>
              <w:rPr>
                <w:sz w:val="18"/>
                <w:szCs w:val="18"/>
              </w:rPr>
            </w:pPr>
            <w:r w:rsidRPr="0053188F">
              <w:rPr>
                <w:sz w:val="18"/>
                <w:szCs w:val="18"/>
              </w:rPr>
              <w:t>long sounds such as ‘s’ &amp; ‘f’ replaced with short sounds ‘d’ or ‘b’</w:t>
            </w:r>
          </w:p>
          <w:p w14:paraId="7F0813B4" w14:textId="28872FB5" w:rsidR="0053188F" w:rsidRPr="0053188F" w:rsidRDefault="0053188F" w:rsidP="00687088">
            <w:pPr>
              <w:rPr>
                <w:sz w:val="18"/>
                <w:szCs w:val="18"/>
              </w:rPr>
            </w:pPr>
            <w:r w:rsidRPr="0053188F">
              <w:rPr>
                <w:sz w:val="18"/>
                <w:szCs w:val="18"/>
              </w:rPr>
              <w:t>e.g. ‘sun’ becomes ‘dun’, ‘fish’ becomes ‘</w:t>
            </w:r>
            <w:proofErr w:type="spellStart"/>
            <w:r w:rsidRPr="0053188F">
              <w:rPr>
                <w:sz w:val="18"/>
                <w:szCs w:val="18"/>
              </w:rPr>
              <w:t>bish</w:t>
            </w:r>
            <w:proofErr w:type="spellEnd"/>
            <w:r w:rsidRPr="0053188F">
              <w:rPr>
                <w:sz w:val="18"/>
                <w:szCs w:val="18"/>
              </w:rPr>
              <w:t>’</w:t>
            </w:r>
          </w:p>
        </w:tc>
        <w:tc>
          <w:tcPr>
            <w:tcW w:w="1559" w:type="dxa"/>
          </w:tcPr>
          <w:p w14:paraId="1581F6E8" w14:textId="77777777" w:rsidR="00687088" w:rsidRDefault="0053188F" w:rsidP="00687088">
            <w:r>
              <w:t>Weak Syllable Deletion</w:t>
            </w:r>
          </w:p>
          <w:p w14:paraId="010E6132" w14:textId="77777777" w:rsidR="0053188F" w:rsidRDefault="0053188F" w:rsidP="00687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Unstressed syllables in words are missed</w:t>
            </w:r>
          </w:p>
          <w:p w14:paraId="73E8E071" w14:textId="3F1F67FA" w:rsidR="0053188F" w:rsidRPr="0053188F" w:rsidRDefault="0053188F" w:rsidP="00687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e.g. ‘banana’ becomes ‘nana’, ‘elephant</w:t>
            </w:r>
            <w:proofErr w:type="gramStart"/>
            <w:r>
              <w:rPr>
                <w:sz w:val="18"/>
                <w:szCs w:val="18"/>
              </w:rPr>
              <w:t>’  becomes</w:t>
            </w:r>
            <w:proofErr w:type="gramEnd"/>
            <w:r>
              <w:rPr>
                <w:sz w:val="18"/>
                <w:szCs w:val="18"/>
              </w:rPr>
              <w:t xml:space="preserve"> ‘</w:t>
            </w:r>
            <w:proofErr w:type="spellStart"/>
            <w:r>
              <w:rPr>
                <w:sz w:val="18"/>
                <w:szCs w:val="18"/>
              </w:rPr>
              <w:t>efant</w:t>
            </w:r>
            <w:proofErr w:type="spellEnd"/>
            <w:r>
              <w:rPr>
                <w:sz w:val="18"/>
                <w:szCs w:val="18"/>
              </w:rPr>
              <w:t>’</w:t>
            </w:r>
          </w:p>
        </w:tc>
        <w:tc>
          <w:tcPr>
            <w:tcW w:w="1586" w:type="dxa"/>
          </w:tcPr>
          <w:p w14:paraId="49E0F93D" w14:textId="77777777" w:rsidR="00687088" w:rsidRDefault="0053188F" w:rsidP="00687088">
            <w:r>
              <w:t>Fronting</w:t>
            </w:r>
          </w:p>
          <w:p w14:paraId="01FFBAD0" w14:textId="77777777" w:rsidR="006D0961" w:rsidRDefault="006D0961" w:rsidP="006D0961">
            <w:pPr>
              <w:rPr>
                <w:sz w:val="18"/>
                <w:szCs w:val="18"/>
              </w:rPr>
            </w:pPr>
            <w:r w:rsidRPr="006D0961">
              <w:rPr>
                <w:sz w:val="18"/>
                <w:szCs w:val="18"/>
              </w:rPr>
              <w:t xml:space="preserve">back of the mouth sounds such as ‘k’ &amp; ‘g’ replaced with front of the mouth sounds ‘t’ &amp; ‘d’ </w:t>
            </w:r>
          </w:p>
          <w:p w14:paraId="47F73939" w14:textId="4AAE7CA7" w:rsidR="006D0961" w:rsidRPr="006D0961" w:rsidRDefault="006D0961" w:rsidP="00687088">
            <w:pPr>
              <w:rPr>
                <w:sz w:val="18"/>
                <w:szCs w:val="18"/>
              </w:rPr>
            </w:pPr>
            <w:r w:rsidRPr="006D0961">
              <w:rPr>
                <w:sz w:val="18"/>
                <w:szCs w:val="18"/>
              </w:rPr>
              <w:t>e.g. ‘cat’ becomes ‘tat’, ‘game’ becomes ‘dame’</w:t>
            </w:r>
          </w:p>
        </w:tc>
        <w:tc>
          <w:tcPr>
            <w:tcW w:w="1446" w:type="dxa"/>
          </w:tcPr>
          <w:p w14:paraId="0F57E3C9" w14:textId="77777777" w:rsidR="00687088" w:rsidRDefault="0053188F" w:rsidP="00687088">
            <w:r>
              <w:t>Cluster Reduction</w:t>
            </w:r>
          </w:p>
          <w:p w14:paraId="437176C4" w14:textId="77777777" w:rsidR="006D0961" w:rsidRDefault="006D0961" w:rsidP="00687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Where one sound in a consonant cluster is missed </w:t>
            </w:r>
          </w:p>
          <w:p w14:paraId="725B2861" w14:textId="492D0ADA" w:rsidR="006D0961" w:rsidRPr="006D0961" w:rsidRDefault="006D0961" w:rsidP="00687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e.g. ‘star’ becomes ‘tar’, ‘blue’ becomes ‘</w:t>
            </w:r>
            <w:proofErr w:type="spellStart"/>
            <w:r>
              <w:rPr>
                <w:sz w:val="18"/>
                <w:szCs w:val="18"/>
              </w:rPr>
              <w:t>bu</w:t>
            </w:r>
            <w:proofErr w:type="spellEnd"/>
            <w:r>
              <w:rPr>
                <w:sz w:val="18"/>
                <w:szCs w:val="18"/>
              </w:rPr>
              <w:t>’</w:t>
            </w:r>
          </w:p>
        </w:tc>
        <w:tc>
          <w:tcPr>
            <w:tcW w:w="1646" w:type="dxa"/>
          </w:tcPr>
          <w:p w14:paraId="69A69853" w14:textId="77777777" w:rsidR="00687088" w:rsidRDefault="0053188F" w:rsidP="00687088">
            <w:r>
              <w:t>De-</w:t>
            </w:r>
            <w:proofErr w:type="spellStart"/>
            <w:r>
              <w:t>affricaton</w:t>
            </w:r>
            <w:proofErr w:type="spellEnd"/>
          </w:p>
          <w:p w14:paraId="3F668CF0" w14:textId="77777777" w:rsidR="006D0961" w:rsidRDefault="006D0961" w:rsidP="00687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Sounds such as ‘</w:t>
            </w:r>
            <w:proofErr w:type="spellStart"/>
            <w:r>
              <w:rPr>
                <w:sz w:val="18"/>
                <w:szCs w:val="18"/>
              </w:rPr>
              <w:t>ch</w:t>
            </w:r>
            <w:proofErr w:type="spellEnd"/>
            <w:r>
              <w:rPr>
                <w:sz w:val="18"/>
                <w:szCs w:val="18"/>
              </w:rPr>
              <w:t>’ replaced with ‘t’, ‘</w:t>
            </w:r>
            <w:proofErr w:type="spellStart"/>
            <w:r>
              <w:rPr>
                <w:sz w:val="18"/>
                <w:szCs w:val="18"/>
              </w:rPr>
              <w:t>sh</w:t>
            </w:r>
            <w:proofErr w:type="spellEnd"/>
            <w:r>
              <w:rPr>
                <w:sz w:val="18"/>
                <w:szCs w:val="18"/>
              </w:rPr>
              <w:t>’ replaced with ‘s’ and ‘j’ replaced with ‘d’</w:t>
            </w:r>
          </w:p>
          <w:p w14:paraId="186EC28F" w14:textId="77777777" w:rsidR="006D0961" w:rsidRDefault="006D0961" w:rsidP="00687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e.g. ‘ship’ becomes ‘sip’</w:t>
            </w:r>
          </w:p>
          <w:p w14:paraId="2E2907ED" w14:textId="41BCBA9B" w:rsidR="006D0961" w:rsidRPr="006D0961" w:rsidRDefault="006D0961" w:rsidP="00687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‘chair’ becomes ‘</w:t>
            </w:r>
            <w:proofErr w:type="spellStart"/>
            <w:r>
              <w:rPr>
                <w:sz w:val="18"/>
                <w:szCs w:val="18"/>
              </w:rPr>
              <w:t>tair</w:t>
            </w:r>
            <w:proofErr w:type="spellEnd"/>
            <w:r>
              <w:rPr>
                <w:sz w:val="18"/>
                <w:szCs w:val="18"/>
              </w:rPr>
              <w:t>’</w:t>
            </w:r>
          </w:p>
        </w:tc>
        <w:tc>
          <w:tcPr>
            <w:tcW w:w="1559" w:type="dxa"/>
          </w:tcPr>
          <w:p w14:paraId="0B9A267D" w14:textId="77777777" w:rsidR="00687088" w:rsidRDefault="0053188F" w:rsidP="00687088">
            <w:r>
              <w:t>Gliding</w:t>
            </w:r>
          </w:p>
          <w:p w14:paraId="01A67369" w14:textId="77777777" w:rsidR="006D0961" w:rsidRPr="006D0961" w:rsidRDefault="006D0961" w:rsidP="00687088">
            <w:pPr>
              <w:rPr>
                <w:sz w:val="18"/>
                <w:szCs w:val="18"/>
              </w:rPr>
            </w:pPr>
            <w:r w:rsidRPr="006D0961">
              <w:rPr>
                <w:sz w:val="18"/>
                <w:szCs w:val="18"/>
              </w:rPr>
              <w:t>Sounds such as ‘r’ replaced with ‘w’, or ‘l’ replaced with ‘y’</w:t>
            </w:r>
          </w:p>
          <w:p w14:paraId="69694131" w14:textId="77777777" w:rsidR="006D0961" w:rsidRPr="006D0961" w:rsidRDefault="006D0961" w:rsidP="00687088">
            <w:pPr>
              <w:rPr>
                <w:sz w:val="18"/>
                <w:szCs w:val="18"/>
              </w:rPr>
            </w:pPr>
            <w:r w:rsidRPr="006D0961">
              <w:rPr>
                <w:sz w:val="18"/>
                <w:szCs w:val="18"/>
              </w:rPr>
              <w:t>e.g. ‘red’ becomes ‘wed’</w:t>
            </w:r>
          </w:p>
          <w:p w14:paraId="7721DE25" w14:textId="493A8950" w:rsidR="006D0961" w:rsidRDefault="006D0961" w:rsidP="00687088">
            <w:r w:rsidRPr="006D0961">
              <w:rPr>
                <w:sz w:val="18"/>
                <w:szCs w:val="18"/>
              </w:rPr>
              <w:t>‘leg’ becomes ‘</w:t>
            </w:r>
            <w:proofErr w:type="spellStart"/>
            <w:r w:rsidRPr="006D0961">
              <w:rPr>
                <w:sz w:val="18"/>
                <w:szCs w:val="18"/>
              </w:rPr>
              <w:t>yeg</w:t>
            </w:r>
            <w:proofErr w:type="spellEnd"/>
            <w:r w:rsidRPr="006D0961">
              <w:rPr>
                <w:sz w:val="18"/>
                <w:szCs w:val="18"/>
              </w:rPr>
              <w:t>’</w:t>
            </w:r>
          </w:p>
        </w:tc>
      </w:tr>
      <w:tr w:rsidR="006D0961" w14:paraId="0CCDA6FF" w14:textId="77777777" w:rsidTr="003A0B4A">
        <w:tc>
          <w:tcPr>
            <w:tcW w:w="1250" w:type="dxa"/>
          </w:tcPr>
          <w:p w14:paraId="5BE21134" w14:textId="2C6BC05C" w:rsidR="00687088" w:rsidRDefault="00687088" w:rsidP="00687088">
            <w:r>
              <w:t>3;00-3;05</w:t>
            </w:r>
          </w:p>
        </w:tc>
        <w:tc>
          <w:tcPr>
            <w:tcW w:w="1728" w:type="dxa"/>
            <w:shd w:val="clear" w:color="auto" w:fill="4C94D8" w:themeFill="text2" w:themeFillTint="80"/>
          </w:tcPr>
          <w:p w14:paraId="0ABAEAD6" w14:textId="77777777" w:rsidR="00687088" w:rsidRDefault="00687088" w:rsidP="00687088"/>
        </w:tc>
        <w:tc>
          <w:tcPr>
            <w:tcW w:w="1559" w:type="dxa"/>
            <w:shd w:val="clear" w:color="auto" w:fill="4C94D8" w:themeFill="text2" w:themeFillTint="80"/>
          </w:tcPr>
          <w:p w14:paraId="3FCFB948" w14:textId="77777777" w:rsidR="00687088" w:rsidRDefault="00687088" w:rsidP="00687088"/>
        </w:tc>
        <w:tc>
          <w:tcPr>
            <w:tcW w:w="1586" w:type="dxa"/>
            <w:shd w:val="clear" w:color="auto" w:fill="4C94D8" w:themeFill="text2" w:themeFillTint="80"/>
          </w:tcPr>
          <w:p w14:paraId="1F03D913" w14:textId="77777777" w:rsidR="00687088" w:rsidRDefault="00687088" w:rsidP="00687088"/>
        </w:tc>
        <w:tc>
          <w:tcPr>
            <w:tcW w:w="1446" w:type="dxa"/>
            <w:shd w:val="clear" w:color="auto" w:fill="4C94D8" w:themeFill="text2" w:themeFillTint="80"/>
          </w:tcPr>
          <w:p w14:paraId="71AB602D" w14:textId="77777777" w:rsidR="00687088" w:rsidRDefault="00687088" w:rsidP="00687088"/>
        </w:tc>
        <w:tc>
          <w:tcPr>
            <w:tcW w:w="1646" w:type="dxa"/>
            <w:shd w:val="clear" w:color="auto" w:fill="4C94D8" w:themeFill="text2" w:themeFillTint="80"/>
          </w:tcPr>
          <w:p w14:paraId="569599FA" w14:textId="77777777" w:rsidR="00687088" w:rsidRDefault="00687088" w:rsidP="00687088"/>
        </w:tc>
        <w:tc>
          <w:tcPr>
            <w:tcW w:w="1559" w:type="dxa"/>
            <w:shd w:val="clear" w:color="auto" w:fill="4C94D8" w:themeFill="text2" w:themeFillTint="80"/>
          </w:tcPr>
          <w:p w14:paraId="444100EF" w14:textId="77777777" w:rsidR="00687088" w:rsidRDefault="00687088" w:rsidP="00687088"/>
        </w:tc>
      </w:tr>
      <w:tr w:rsidR="006D0961" w14:paraId="44B48D3F" w14:textId="77777777" w:rsidTr="003A0B4A">
        <w:tc>
          <w:tcPr>
            <w:tcW w:w="1250" w:type="dxa"/>
          </w:tcPr>
          <w:p w14:paraId="488C33C4" w14:textId="734A9A83" w:rsidR="00687088" w:rsidRDefault="00687088" w:rsidP="00687088">
            <w:r>
              <w:t>3;06 – 3;11</w:t>
            </w:r>
          </w:p>
        </w:tc>
        <w:tc>
          <w:tcPr>
            <w:tcW w:w="1728" w:type="dxa"/>
          </w:tcPr>
          <w:p w14:paraId="45AAC9B5" w14:textId="77777777" w:rsidR="00687088" w:rsidRDefault="00687088" w:rsidP="00687088"/>
        </w:tc>
        <w:tc>
          <w:tcPr>
            <w:tcW w:w="1559" w:type="dxa"/>
            <w:shd w:val="clear" w:color="auto" w:fill="4C94D8" w:themeFill="text2" w:themeFillTint="80"/>
          </w:tcPr>
          <w:p w14:paraId="440906FC" w14:textId="77777777" w:rsidR="00687088" w:rsidRDefault="00687088" w:rsidP="00687088"/>
        </w:tc>
        <w:tc>
          <w:tcPr>
            <w:tcW w:w="1586" w:type="dxa"/>
            <w:shd w:val="clear" w:color="auto" w:fill="4C94D8" w:themeFill="text2" w:themeFillTint="80"/>
          </w:tcPr>
          <w:p w14:paraId="295DD068" w14:textId="77777777" w:rsidR="00687088" w:rsidRDefault="00687088" w:rsidP="00687088"/>
        </w:tc>
        <w:tc>
          <w:tcPr>
            <w:tcW w:w="1446" w:type="dxa"/>
            <w:shd w:val="clear" w:color="auto" w:fill="4C94D8" w:themeFill="text2" w:themeFillTint="80"/>
          </w:tcPr>
          <w:p w14:paraId="0F10FDFA" w14:textId="77777777" w:rsidR="00687088" w:rsidRDefault="00687088" w:rsidP="00687088"/>
        </w:tc>
        <w:tc>
          <w:tcPr>
            <w:tcW w:w="1646" w:type="dxa"/>
            <w:shd w:val="clear" w:color="auto" w:fill="4C94D8" w:themeFill="text2" w:themeFillTint="80"/>
          </w:tcPr>
          <w:p w14:paraId="19EC0B48" w14:textId="77777777" w:rsidR="00687088" w:rsidRDefault="00687088" w:rsidP="00687088"/>
        </w:tc>
        <w:tc>
          <w:tcPr>
            <w:tcW w:w="1559" w:type="dxa"/>
            <w:shd w:val="clear" w:color="auto" w:fill="4C94D8" w:themeFill="text2" w:themeFillTint="80"/>
          </w:tcPr>
          <w:p w14:paraId="0F798A1F" w14:textId="77777777" w:rsidR="00687088" w:rsidRDefault="00687088" w:rsidP="00687088"/>
        </w:tc>
      </w:tr>
      <w:tr w:rsidR="006D0961" w14:paraId="7B722559" w14:textId="77777777" w:rsidTr="003A0B4A">
        <w:tc>
          <w:tcPr>
            <w:tcW w:w="1250" w:type="dxa"/>
          </w:tcPr>
          <w:p w14:paraId="5D9B7663" w14:textId="5D9A6C95" w:rsidR="00687088" w:rsidRDefault="00687088" w:rsidP="00687088">
            <w:r>
              <w:t>4;00 – 4;05</w:t>
            </w:r>
          </w:p>
        </w:tc>
        <w:tc>
          <w:tcPr>
            <w:tcW w:w="1728" w:type="dxa"/>
          </w:tcPr>
          <w:p w14:paraId="30199F43" w14:textId="77777777" w:rsidR="00687088" w:rsidRDefault="00687088" w:rsidP="00687088"/>
        </w:tc>
        <w:tc>
          <w:tcPr>
            <w:tcW w:w="1559" w:type="dxa"/>
          </w:tcPr>
          <w:p w14:paraId="61FFAB60" w14:textId="77777777" w:rsidR="00687088" w:rsidRDefault="00687088" w:rsidP="00687088"/>
        </w:tc>
        <w:tc>
          <w:tcPr>
            <w:tcW w:w="1586" w:type="dxa"/>
          </w:tcPr>
          <w:p w14:paraId="285E5A24" w14:textId="77777777" w:rsidR="00687088" w:rsidRDefault="00687088" w:rsidP="00687088"/>
        </w:tc>
        <w:tc>
          <w:tcPr>
            <w:tcW w:w="1446" w:type="dxa"/>
            <w:shd w:val="clear" w:color="auto" w:fill="4C94D8" w:themeFill="text2" w:themeFillTint="80"/>
          </w:tcPr>
          <w:p w14:paraId="46B4EFDE" w14:textId="7401C2E1" w:rsidR="00687088" w:rsidRDefault="003A0B4A" w:rsidP="00687088">
            <w:r>
              <w:rPr>
                <w:sz w:val="18"/>
                <w:szCs w:val="18"/>
              </w:rPr>
              <w:t>Remember some clusters will be easier than others</w:t>
            </w:r>
          </w:p>
        </w:tc>
        <w:tc>
          <w:tcPr>
            <w:tcW w:w="1646" w:type="dxa"/>
            <w:shd w:val="clear" w:color="auto" w:fill="4C94D8" w:themeFill="text2" w:themeFillTint="80"/>
          </w:tcPr>
          <w:p w14:paraId="2662FADB" w14:textId="77777777" w:rsidR="00687088" w:rsidRDefault="00687088" w:rsidP="00687088"/>
        </w:tc>
        <w:tc>
          <w:tcPr>
            <w:tcW w:w="1559" w:type="dxa"/>
            <w:shd w:val="clear" w:color="auto" w:fill="4C94D8" w:themeFill="text2" w:themeFillTint="80"/>
          </w:tcPr>
          <w:p w14:paraId="3E3E69EB" w14:textId="77777777" w:rsidR="00687088" w:rsidRDefault="00687088" w:rsidP="00687088"/>
        </w:tc>
      </w:tr>
      <w:tr w:rsidR="006D0961" w14:paraId="62D413E6" w14:textId="77777777" w:rsidTr="003A0B4A">
        <w:tc>
          <w:tcPr>
            <w:tcW w:w="1250" w:type="dxa"/>
          </w:tcPr>
          <w:p w14:paraId="650FC463" w14:textId="3EBF115E" w:rsidR="00687088" w:rsidRDefault="00687088" w:rsidP="00687088">
            <w:r>
              <w:t>4;06 – 4;11</w:t>
            </w:r>
          </w:p>
        </w:tc>
        <w:tc>
          <w:tcPr>
            <w:tcW w:w="1728" w:type="dxa"/>
          </w:tcPr>
          <w:p w14:paraId="28EDE9F3" w14:textId="77777777" w:rsidR="00687088" w:rsidRDefault="00687088" w:rsidP="00687088"/>
        </w:tc>
        <w:tc>
          <w:tcPr>
            <w:tcW w:w="1559" w:type="dxa"/>
          </w:tcPr>
          <w:p w14:paraId="4A34DCE7" w14:textId="77777777" w:rsidR="00687088" w:rsidRDefault="00687088" w:rsidP="00687088"/>
        </w:tc>
        <w:tc>
          <w:tcPr>
            <w:tcW w:w="1586" w:type="dxa"/>
          </w:tcPr>
          <w:p w14:paraId="690B6AA6" w14:textId="77777777" w:rsidR="00687088" w:rsidRDefault="00687088" w:rsidP="00687088"/>
        </w:tc>
        <w:tc>
          <w:tcPr>
            <w:tcW w:w="1446" w:type="dxa"/>
            <w:shd w:val="clear" w:color="auto" w:fill="4C94D8" w:themeFill="text2" w:themeFillTint="80"/>
          </w:tcPr>
          <w:p w14:paraId="76074F3F" w14:textId="029E33BE" w:rsidR="00687088" w:rsidRPr="003A0B4A" w:rsidRDefault="00687088" w:rsidP="00687088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4C94D8" w:themeFill="text2" w:themeFillTint="80"/>
          </w:tcPr>
          <w:p w14:paraId="11782823" w14:textId="77777777" w:rsidR="00687088" w:rsidRDefault="00687088" w:rsidP="00687088"/>
        </w:tc>
        <w:tc>
          <w:tcPr>
            <w:tcW w:w="1559" w:type="dxa"/>
            <w:shd w:val="clear" w:color="auto" w:fill="4C94D8" w:themeFill="text2" w:themeFillTint="80"/>
          </w:tcPr>
          <w:p w14:paraId="49A8911E" w14:textId="77777777" w:rsidR="00687088" w:rsidRDefault="00687088" w:rsidP="00687088"/>
        </w:tc>
      </w:tr>
      <w:tr w:rsidR="006D0961" w14:paraId="6FE9A64B" w14:textId="77777777" w:rsidTr="003A0B4A">
        <w:tc>
          <w:tcPr>
            <w:tcW w:w="1250" w:type="dxa"/>
          </w:tcPr>
          <w:p w14:paraId="7D0C3CE3" w14:textId="027EA4CB" w:rsidR="00687088" w:rsidRDefault="00687088" w:rsidP="00687088">
            <w:r>
              <w:t>5;00 – 5;05</w:t>
            </w:r>
          </w:p>
        </w:tc>
        <w:tc>
          <w:tcPr>
            <w:tcW w:w="1728" w:type="dxa"/>
          </w:tcPr>
          <w:p w14:paraId="5988C49A" w14:textId="77777777" w:rsidR="00687088" w:rsidRDefault="00687088" w:rsidP="00687088"/>
        </w:tc>
        <w:tc>
          <w:tcPr>
            <w:tcW w:w="1559" w:type="dxa"/>
          </w:tcPr>
          <w:p w14:paraId="6EEB36C3" w14:textId="77777777" w:rsidR="00687088" w:rsidRDefault="00687088" w:rsidP="00687088"/>
        </w:tc>
        <w:tc>
          <w:tcPr>
            <w:tcW w:w="1586" w:type="dxa"/>
          </w:tcPr>
          <w:p w14:paraId="50A0C97B" w14:textId="77777777" w:rsidR="00687088" w:rsidRDefault="00687088" w:rsidP="00687088"/>
        </w:tc>
        <w:tc>
          <w:tcPr>
            <w:tcW w:w="1446" w:type="dxa"/>
          </w:tcPr>
          <w:p w14:paraId="435E4A3A" w14:textId="77777777" w:rsidR="00687088" w:rsidRDefault="00687088" w:rsidP="00687088"/>
        </w:tc>
        <w:tc>
          <w:tcPr>
            <w:tcW w:w="1646" w:type="dxa"/>
          </w:tcPr>
          <w:p w14:paraId="1352650B" w14:textId="77777777" w:rsidR="00687088" w:rsidRDefault="00687088" w:rsidP="00687088"/>
        </w:tc>
        <w:tc>
          <w:tcPr>
            <w:tcW w:w="1559" w:type="dxa"/>
            <w:shd w:val="clear" w:color="auto" w:fill="4C94D8" w:themeFill="text2" w:themeFillTint="80"/>
          </w:tcPr>
          <w:p w14:paraId="5AFB25E5" w14:textId="77777777" w:rsidR="00687088" w:rsidRDefault="00687088" w:rsidP="00687088"/>
        </w:tc>
      </w:tr>
      <w:tr w:rsidR="006D0961" w14:paraId="6F96A2D1" w14:textId="77777777" w:rsidTr="003A0B4A">
        <w:tc>
          <w:tcPr>
            <w:tcW w:w="1250" w:type="dxa"/>
          </w:tcPr>
          <w:p w14:paraId="719D7EDC" w14:textId="0A44FBED" w:rsidR="00687088" w:rsidRDefault="00687088" w:rsidP="00687088">
            <w:r>
              <w:t>5;06 – 5;11</w:t>
            </w:r>
          </w:p>
        </w:tc>
        <w:tc>
          <w:tcPr>
            <w:tcW w:w="1728" w:type="dxa"/>
          </w:tcPr>
          <w:p w14:paraId="4218A240" w14:textId="77777777" w:rsidR="00687088" w:rsidRDefault="00687088" w:rsidP="00687088"/>
        </w:tc>
        <w:tc>
          <w:tcPr>
            <w:tcW w:w="1559" w:type="dxa"/>
          </w:tcPr>
          <w:p w14:paraId="4615537B" w14:textId="77777777" w:rsidR="00687088" w:rsidRDefault="00687088" w:rsidP="00687088"/>
        </w:tc>
        <w:tc>
          <w:tcPr>
            <w:tcW w:w="1586" w:type="dxa"/>
          </w:tcPr>
          <w:p w14:paraId="3B30748B" w14:textId="77777777" w:rsidR="00687088" w:rsidRDefault="00687088" w:rsidP="00687088"/>
        </w:tc>
        <w:tc>
          <w:tcPr>
            <w:tcW w:w="1446" w:type="dxa"/>
          </w:tcPr>
          <w:p w14:paraId="4CF3D0B0" w14:textId="77777777" w:rsidR="00687088" w:rsidRDefault="00687088" w:rsidP="00687088"/>
        </w:tc>
        <w:tc>
          <w:tcPr>
            <w:tcW w:w="1646" w:type="dxa"/>
          </w:tcPr>
          <w:p w14:paraId="4099C1C2" w14:textId="77777777" w:rsidR="00687088" w:rsidRDefault="00687088" w:rsidP="00687088"/>
        </w:tc>
        <w:tc>
          <w:tcPr>
            <w:tcW w:w="1559" w:type="dxa"/>
            <w:shd w:val="clear" w:color="auto" w:fill="4C94D8" w:themeFill="text2" w:themeFillTint="80"/>
          </w:tcPr>
          <w:p w14:paraId="65AB16CD" w14:textId="77777777" w:rsidR="00687088" w:rsidRDefault="00687088" w:rsidP="00687088"/>
        </w:tc>
      </w:tr>
      <w:tr w:rsidR="006D0961" w14:paraId="74263669" w14:textId="77777777" w:rsidTr="006D0961">
        <w:tc>
          <w:tcPr>
            <w:tcW w:w="1250" w:type="dxa"/>
          </w:tcPr>
          <w:p w14:paraId="00F11ECC" w14:textId="66A01D12" w:rsidR="00687088" w:rsidRDefault="00687088" w:rsidP="00687088">
            <w:r>
              <w:t>6;00 +</w:t>
            </w:r>
          </w:p>
        </w:tc>
        <w:tc>
          <w:tcPr>
            <w:tcW w:w="1728" w:type="dxa"/>
          </w:tcPr>
          <w:p w14:paraId="3D3716C1" w14:textId="77777777" w:rsidR="00687088" w:rsidRDefault="00687088" w:rsidP="00687088"/>
        </w:tc>
        <w:tc>
          <w:tcPr>
            <w:tcW w:w="1559" w:type="dxa"/>
          </w:tcPr>
          <w:p w14:paraId="0570CF1F" w14:textId="77777777" w:rsidR="00687088" w:rsidRDefault="00687088" w:rsidP="00687088"/>
        </w:tc>
        <w:tc>
          <w:tcPr>
            <w:tcW w:w="1586" w:type="dxa"/>
          </w:tcPr>
          <w:p w14:paraId="53C69182" w14:textId="77777777" w:rsidR="00687088" w:rsidRDefault="00687088" w:rsidP="00687088"/>
        </w:tc>
        <w:tc>
          <w:tcPr>
            <w:tcW w:w="1446" w:type="dxa"/>
          </w:tcPr>
          <w:p w14:paraId="03C8F961" w14:textId="77777777" w:rsidR="00687088" w:rsidRDefault="00687088" w:rsidP="00687088"/>
        </w:tc>
        <w:tc>
          <w:tcPr>
            <w:tcW w:w="1646" w:type="dxa"/>
          </w:tcPr>
          <w:p w14:paraId="5013A6D9" w14:textId="77777777" w:rsidR="00687088" w:rsidRDefault="00687088" w:rsidP="00687088"/>
        </w:tc>
        <w:tc>
          <w:tcPr>
            <w:tcW w:w="1559" w:type="dxa"/>
          </w:tcPr>
          <w:p w14:paraId="1CF4BDE8" w14:textId="77777777" w:rsidR="00687088" w:rsidRDefault="00687088" w:rsidP="00687088"/>
        </w:tc>
      </w:tr>
    </w:tbl>
    <w:p w14:paraId="091F6AF3" w14:textId="77777777" w:rsidR="00687088" w:rsidRDefault="00687088" w:rsidP="00687088">
      <w:pPr>
        <w:spacing w:after="0"/>
      </w:pPr>
    </w:p>
    <w:p w14:paraId="13F485D4" w14:textId="7EB7D0F0" w:rsidR="000E15CA" w:rsidRPr="000E15CA" w:rsidRDefault="000E15CA" w:rsidP="000E15CA">
      <w:pPr>
        <w:spacing w:after="0"/>
      </w:pPr>
      <w:r w:rsidRPr="000E15CA">
        <w:t xml:space="preserve">With plenty of opportunities to hear the sounds being used correctly through modelling and practice of phonological awareness activities, these </w:t>
      </w:r>
      <w:r w:rsidR="00C410E9">
        <w:t>errors</w:t>
      </w:r>
      <w:r w:rsidRPr="000E15CA">
        <w:t xml:space="preserve"> may resolve without the need for specialist speech therapy.</w:t>
      </w:r>
    </w:p>
    <w:p w14:paraId="19C60A62" w14:textId="77777777" w:rsidR="000E15CA" w:rsidRDefault="000E15CA" w:rsidP="00687088">
      <w:pPr>
        <w:spacing w:after="0"/>
      </w:pPr>
    </w:p>
    <w:p w14:paraId="087057CE" w14:textId="77777777" w:rsidR="0072158D" w:rsidRDefault="0072158D" w:rsidP="00687088">
      <w:pPr>
        <w:spacing w:after="0"/>
      </w:pPr>
    </w:p>
    <w:p w14:paraId="6D91CA81" w14:textId="77777777" w:rsidR="0072158D" w:rsidRDefault="0072158D" w:rsidP="00687088">
      <w:pPr>
        <w:spacing w:after="0"/>
      </w:pPr>
    </w:p>
    <w:p w14:paraId="205C6C11" w14:textId="77777777" w:rsidR="0072158D" w:rsidRDefault="0072158D" w:rsidP="00687088">
      <w:pPr>
        <w:spacing w:after="0"/>
      </w:pPr>
    </w:p>
    <w:p w14:paraId="136B5E40" w14:textId="77777777" w:rsidR="00D91E8F" w:rsidRDefault="00D91E8F" w:rsidP="00687088">
      <w:pPr>
        <w:spacing w:after="0"/>
      </w:pPr>
    </w:p>
    <w:p w14:paraId="1174B899" w14:textId="3B8FDDA6" w:rsidR="00F34F7E" w:rsidRPr="00E26CE8" w:rsidRDefault="00E26CE8" w:rsidP="00E26CE8">
      <w:pPr>
        <w:pStyle w:val="ListParagraph"/>
        <w:numPr>
          <w:ilvl w:val="0"/>
          <w:numId w:val="2"/>
        </w:numPr>
      </w:pPr>
      <w:r>
        <w:rPr>
          <w:b/>
          <w:bCs/>
          <w:sz w:val="28"/>
          <w:szCs w:val="28"/>
        </w:rPr>
        <w:t xml:space="preserve">What </w:t>
      </w:r>
      <w:r w:rsidR="00F82AA8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o look out for</w:t>
      </w:r>
    </w:p>
    <w:p w14:paraId="671E5F2C" w14:textId="62C5EB8E" w:rsidR="00D91E8F" w:rsidRDefault="00D91E8F" w:rsidP="00E26CE8">
      <w:pPr>
        <w:pStyle w:val="ListParagraph"/>
      </w:pPr>
      <w:r>
        <w:t>Some errors that children make with their speech sounds are considered more atypical</w:t>
      </w:r>
      <w:r w:rsidR="000E15CA">
        <w:t xml:space="preserve"> and </w:t>
      </w:r>
      <w:r>
        <w:t xml:space="preserve">less likely to </w:t>
      </w:r>
      <w:r w:rsidR="000E15CA">
        <w:t>resolve</w:t>
      </w:r>
      <w:r>
        <w:t xml:space="preserve"> without </w:t>
      </w:r>
      <w:r w:rsidR="000E15CA">
        <w:t xml:space="preserve">specialist </w:t>
      </w:r>
      <w:r>
        <w:t>support</w:t>
      </w:r>
      <w:r w:rsidR="000E15CA">
        <w:t>. Errors</w:t>
      </w:r>
      <w:r>
        <w:t xml:space="preserve"> to look out for:</w:t>
      </w:r>
    </w:p>
    <w:p w14:paraId="3C0F4B4F" w14:textId="139AFD35" w:rsidR="00D91E8F" w:rsidRDefault="00D91E8F" w:rsidP="00D91E8F">
      <w:pPr>
        <w:pStyle w:val="ListParagraph"/>
        <w:numPr>
          <w:ilvl w:val="0"/>
          <w:numId w:val="4"/>
        </w:numPr>
      </w:pPr>
      <w:r>
        <w:t xml:space="preserve">Consonant sounds limited </w:t>
      </w:r>
      <w:proofErr w:type="gramStart"/>
      <w:r>
        <w:t>to:</w:t>
      </w:r>
      <w:proofErr w:type="gramEnd"/>
      <w:r>
        <w:t xml:space="preserve"> m h n</w:t>
      </w:r>
    </w:p>
    <w:p w14:paraId="167467DF" w14:textId="66163A0F" w:rsidR="00D91E8F" w:rsidRDefault="00D91E8F" w:rsidP="00D91E8F">
      <w:pPr>
        <w:pStyle w:val="ListParagraph"/>
        <w:numPr>
          <w:ilvl w:val="0"/>
          <w:numId w:val="4"/>
        </w:numPr>
      </w:pPr>
      <w:r>
        <w:t>Overuse of one sound</w:t>
      </w:r>
      <w:r w:rsidR="000E15CA">
        <w:t xml:space="preserve"> which dominates all speech e.g. “give it to me” becomes “di </w:t>
      </w:r>
      <w:proofErr w:type="spellStart"/>
      <w:r w:rsidR="000E15CA">
        <w:t>di</w:t>
      </w:r>
      <w:proofErr w:type="spellEnd"/>
      <w:r w:rsidR="000E15CA">
        <w:t xml:space="preserve"> doo dee”</w:t>
      </w:r>
    </w:p>
    <w:p w14:paraId="69E043D2" w14:textId="6C52A0D6" w:rsidR="000E15CA" w:rsidRDefault="000E15CA" w:rsidP="00D91E8F">
      <w:pPr>
        <w:pStyle w:val="ListParagraph"/>
        <w:numPr>
          <w:ilvl w:val="0"/>
          <w:numId w:val="4"/>
        </w:numPr>
      </w:pPr>
      <w:r>
        <w:t xml:space="preserve">Overuse of “back” sounds k/g, </w:t>
      </w:r>
      <w:proofErr w:type="spellStart"/>
      <w:r>
        <w:t>e.g</w:t>
      </w:r>
      <w:proofErr w:type="spellEnd"/>
      <w:r>
        <w:t xml:space="preserve"> </w:t>
      </w:r>
      <w:r w:rsidR="00C410E9">
        <w:t>“</w:t>
      </w:r>
      <w:r>
        <w:t>dog</w:t>
      </w:r>
      <w:r w:rsidR="00C410E9">
        <w:t>”</w:t>
      </w:r>
      <w:r>
        <w:t xml:space="preserve"> becomes “</w:t>
      </w:r>
      <w:proofErr w:type="spellStart"/>
      <w:r>
        <w:t>gog</w:t>
      </w:r>
      <w:proofErr w:type="spellEnd"/>
      <w:r>
        <w:t>”, “tiger” becomes “</w:t>
      </w:r>
      <w:proofErr w:type="spellStart"/>
      <w:r>
        <w:t>kiger</w:t>
      </w:r>
      <w:proofErr w:type="spellEnd"/>
      <w:r>
        <w:t>”</w:t>
      </w:r>
    </w:p>
    <w:p w14:paraId="6A95D762" w14:textId="68991AB2" w:rsidR="00F34F7E" w:rsidRDefault="00D91E8F" w:rsidP="00F34F7E">
      <w:pPr>
        <w:pStyle w:val="ListParagraph"/>
        <w:numPr>
          <w:ilvl w:val="0"/>
          <w:numId w:val="4"/>
        </w:numPr>
        <w:spacing w:after="0"/>
      </w:pPr>
      <w:r>
        <w:t>Errors with vowel sounds</w:t>
      </w:r>
      <w:r w:rsidR="000E15CA">
        <w:t xml:space="preserve"> e.g. “bye” </w:t>
      </w:r>
      <w:proofErr w:type="gramStart"/>
      <w:r w:rsidR="000E15CA">
        <w:t>becomes  “</w:t>
      </w:r>
      <w:proofErr w:type="gramEnd"/>
      <w:r w:rsidR="000E15CA">
        <w:t>bah”</w:t>
      </w:r>
    </w:p>
    <w:p w14:paraId="7FCD0772" w14:textId="14AA7E47" w:rsidR="007206DF" w:rsidRDefault="007206DF" w:rsidP="00F34F7E">
      <w:pPr>
        <w:pStyle w:val="ListParagraph"/>
        <w:numPr>
          <w:ilvl w:val="0"/>
          <w:numId w:val="4"/>
        </w:numPr>
        <w:spacing w:after="0"/>
      </w:pPr>
      <w:r>
        <w:t>Missing the first sound off words e.g. ‘cat’ becomes ‘at’</w:t>
      </w:r>
    </w:p>
    <w:p w14:paraId="00C98573" w14:textId="6F7B991F" w:rsidR="001A1B52" w:rsidRDefault="007206DF" w:rsidP="001A1B52">
      <w:pPr>
        <w:pStyle w:val="ListParagraph"/>
        <w:numPr>
          <w:ilvl w:val="0"/>
          <w:numId w:val="4"/>
        </w:numPr>
        <w:spacing w:after="0"/>
      </w:pPr>
      <w:r>
        <w:t>Snorting sound in place of speech sounds</w:t>
      </w:r>
    </w:p>
    <w:p w14:paraId="450299FD" w14:textId="7A6597C6" w:rsidR="00174F5B" w:rsidRDefault="00174F5B" w:rsidP="001A1B52">
      <w:pPr>
        <w:pStyle w:val="ListParagraph"/>
        <w:numPr>
          <w:ilvl w:val="0"/>
          <w:numId w:val="4"/>
        </w:numPr>
        <w:spacing w:after="0"/>
      </w:pPr>
      <w:r>
        <w:t>Significant concerns around intelligibility, even those close and very familiar with the child can find them difficult to understand, difficulties understanding children even where context is obvious.</w:t>
      </w:r>
    </w:p>
    <w:p w14:paraId="4E914D8F" w14:textId="3EC0EF65" w:rsidR="001A1B52" w:rsidRDefault="001A1B52" w:rsidP="001A1B52">
      <w:pPr>
        <w:spacing w:after="0"/>
      </w:pPr>
    </w:p>
    <w:p w14:paraId="3BB68E8F" w14:textId="3074A00B" w:rsidR="00AA40AB" w:rsidRPr="00174F5B" w:rsidRDefault="00AA40AB" w:rsidP="00AA40AB">
      <w:pPr>
        <w:pStyle w:val="ListParagraph"/>
      </w:pPr>
      <w:r>
        <w:rPr>
          <w:b/>
          <w:bCs/>
          <w:sz w:val="28"/>
          <w:szCs w:val="28"/>
        </w:rPr>
        <w:t>Oldham’s Criteria for referral:</w:t>
      </w:r>
    </w:p>
    <w:p w14:paraId="199861F7" w14:textId="59164A55" w:rsidR="00AA40AB" w:rsidRDefault="00AA40AB" w:rsidP="00174F5B">
      <w:pPr>
        <w:pStyle w:val="ListParagraph"/>
        <w:numPr>
          <w:ilvl w:val="0"/>
          <w:numId w:val="5"/>
        </w:numPr>
      </w:pPr>
      <w:r>
        <w:t>Complete the full referral form</w:t>
      </w:r>
    </w:p>
    <w:p w14:paraId="6171A79F" w14:textId="63262AC2" w:rsidR="00AA40AB" w:rsidRDefault="00AA40AB" w:rsidP="00174F5B">
      <w:pPr>
        <w:pStyle w:val="ListParagraph"/>
        <w:numPr>
          <w:ilvl w:val="0"/>
          <w:numId w:val="5"/>
        </w:numPr>
      </w:pPr>
      <w:r>
        <w:t>Include a copy of the speech screen you have completed</w:t>
      </w:r>
    </w:p>
    <w:p w14:paraId="0E8868C6" w14:textId="3FF0D859" w:rsidR="00AA40AB" w:rsidRDefault="00AA40AB" w:rsidP="00174F5B">
      <w:pPr>
        <w:pStyle w:val="ListParagraph"/>
        <w:numPr>
          <w:ilvl w:val="0"/>
          <w:numId w:val="5"/>
        </w:numPr>
      </w:pPr>
      <w:r>
        <w:t>Include information regarding the child’s language and attention abilities</w:t>
      </w:r>
    </w:p>
    <w:p w14:paraId="3029D5D4" w14:textId="38F12A74" w:rsidR="0019611E" w:rsidRPr="0019611E" w:rsidRDefault="0019611E" w:rsidP="0019611E">
      <w:pPr>
        <w:pStyle w:val="ListParagraph"/>
        <w:rPr>
          <w:i/>
          <w:iCs/>
        </w:rPr>
      </w:pPr>
      <w:r w:rsidRPr="0019611E">
        <w:rPr>
          <w:i/>
          <w:iCs/>
        </w:rPr>
        <w:t>(Remember – if a child has difficulties with their language and/or attention and listening, they are unlikely to have the skills to work on speech sounds. Children need to be able to follow adult lead activities, be using 3-key word sentences and have a good understanding of concepts such as first/last, same/different. Please prioritise building these skills to ready them for any future speech work.</w:t>
      </w:r>
      <w:r w:rsidR="00C410E9">
        <w:rPr>
          <w:i/>
          <w:iCs/>
        </w:rPr>
        <w:t>)</w:t>
      </w:r>
    </w:p>
    <w:p w14:paraId="3813B948" w14:textId="4FA3730D" w:rsidR="001A1B52" w:rsidRPr="00C410E9" w:rsidRDefault="0019611E" w:rsidP="00AB13EC">
      <w:pPr>
        <w:pStyle w:val="ListParagraph"/>
        <w:numPr>
          <w:ilvl w:val="0"/>
          <w:numId w:val="10"/>
        </w:numPr>
        <w:rPr>
          <w:i/>
          <w:iCs/>
        </w:rPr>
      </w:pPr>
      <w:r>
        <w:t>Provide information on the impact of speech sound difficulties on the child’s intelligibility and/or well-being.</w:t>
      </w:r>
    </w:p>
    <w:p w14:paraId="64528574" w14:textId="77777777" w:rsidR="0019611E" w:rsidRPr="00C410E9" w:rsidRDefault="0019611E" w:rsidP="0019611E">
      <w:r w:rsidRPr="00C410E9">
        <w:t>Referrals for the following will not be accepted:</w:t>
      </w:r>
    </w:p>
    <w:p w14:paraId="4CD68D94" w14:textId="77777777" w:rsidR="0019611E" w:rsidRPr="00C410E9" w:rsidRDefault="0019611E" w:rsidP="004471E2">
      <w:pPr>
        <w:numPr>
          <w:ilvl w:val="0"/>
          <w:numId w:val="11"/>
        </w:numPr>
        <w:spacing w:after="0"/>
        <w:ind w:left="714" w:hanging="357"/>
      </w:pPr>
      <w:r w:rsidRPr="00C410E9">
        <w:t>Below age 3: where the only concern is speech sounds (except for cleft children). </w:t>
      </w:r>
    </w:p>
    <w:p w14:paraId="5E0249D2" w14:textId="77777777" w:rsidR="0019611E" w:rsidRPr="00C410E9" w:rsidRDefault="0019611E" w:rsidP="004471E2">
      <w:pPr>
        <w:numPr>
          <w:ilvl w:val="0"/>
          <w:numId w:val="12"/>
        </w:numPr>
        <w:spacing w:after="0"/>
        <w:ind w:left="714" w:hanging="357"/>
      </w:pPr>
      <w:r w:rsidRPr="00C410E9">
        <w:t xml:space="preserve">Below age 5: where only one delayed error pattern is apparent and there is a low impact on intelligibility and wellbeing. </w:t>
      </w:r>
    </w:p>
    <w:p w14:paraId="728DFEA7" w14:textId="12AC0F51" w:rsidR="0019611E" w:rsidRDefault="00C410E9" w:rsidP="00AB13EC">
      <w:pPr>
        <w:pStyle w:val="ListParagraph"/>
        <w:numPr>
          <w:ilvl w:val="0"/>
          <w:numId w:val="13"/>
        </w:numPr>
        <w:spacing w:after="0"/>
      </w:pPr>
      <w:r w:rsidRPr="00C410E9">
        <w:t xml:space="preserve">Below age 7: if the child has a lisp/slushy sounding </w:t>
      </w:r>
      <w:proofErr w:type="gramStart"/>
      <w:r w:rsidRPr="00C410E9">
        <w:t>speech ,</w:t>
      </w:r>
      <w:proofErr w:type="gramEnd"/>
      <w:r w:rsidRPr="00C410E9">
        <w:t xml:space="preserve"> or remaining difficulties with ‘r’ only and there is limited impact on intelligibility/wellbeing etc.</w:t>
      </w:r>
    </w:p>
    <w:p w14:paraId="6F9E6B6D" w14:textId="77777777" w:rsidR="004471E2" w:rsidRDefault="004471E2" w:rsidP="00AB13EC">
      <w:pPr>
        <w:spacing w:after="0"/>
      </w:pPr>
    </w:p>
    <w:p w14:paraId="223A288B" w14:textId="022F6766" w:rsidR="00AB13EC" w:rsidRDefault="00AB13EC" w:rsidP="00AB13EC">
      <w:pPr>
        <w:spacing w:after="0"/>
      </w:pPr>
      <w:r>
        <w:t>If in doubt:</w:t>
      </w:r>
    </w:p>
    <w:p w14:paraId="2950CBEE" w14:textId="5BC7E85E" w:rsidR="00AB13EC" w:rsidRDefault="00AB13EC" w:rsidP="00AB13EC">
      <w:pPr>
        <w:pStyle w:val="ListParagraph"/>
        <w:numPr>
          <w:ilvl w:val="0"/>
          <w:numId w:val="10"/>
        </w:numPr>
      </w:pPr>
      <w:r>
        <w:t xml:space="preserve">For children in the EYFS – contact the BCT for advice: </w:t>
      </w:r>
      <w:hyperlink r:id="rId7" w:history="1">
        <w:r w:rsidRPr="00E6219A">
          <w:rPr>
            <w:rStyle w:val="Hyperlink"/>
          </w:rPr>
          <w:t>Liz.Metcalfe@oldham.gov.uk</w:t>
        </w:r>
      </w:hyperlink>
      <w:r>
        <w:t xml:space="preserve"> </w:t>
      </w:r>
    </w:p>
    <w:p w14:paraId="317F8556" w14:textId="66C9B4F3" w:rsidR="00AB13EC" w:rsidRDefault="00AB13EC" w:rsidP="00AB13EC">
      <w:pPr>
        <w:pStyle w:val="ListParagraph"/>
        <w:numPr>
          <w:ilvl w:val="0"/>
          <w:numId w:val="10"/>
        </w:numPr>
      </w:pPr>
      <w:r>
        <w:t xml:space="preserve">For children KS1 and above – look for ELSEC SLC Surgery dates advertised on: </w:t>
      </w:r>
      <w:hyperlink r:id="rId8" w:history="1">
        <w:r w:rsidRPr="00AB13EC">
          <w:rPr>
            <w:rStyle w:val="Hyperlink"/>
          </w:rPr>
          <w:t>Oldham Connect | Support Services</w:t>
        </w:r>
      </w:hyperlink>
    </w:p>
    <w:p w14:paraId="2F3B7C4A" w14:textId="3F17C74D" w:rsidR="00AB13EC" w:rsidRPr="001A1B52" w:rsidRDefault="00FD5A31" w:rsidP="00AB13EC">
      <w:pPr>
        <w:pStyle w:val="ListParagraph"/>
        <w:numPr>
          <w:ilvl w:val="0"/>
          <w:numId w:val="10"/>
        </w:numPr>
      </w:pPr>
      <w:r>
        <w:t xml:space="preserve">Furthermore referrals can be made and the triaging therapist will make a decision based on the provided information as to whether the child is appropriate for support with their speech sounds. </w:t>
      </w:r>
    </w:p>
    <w:p w14:paraId="3CF345B5" w14:textId="77777777" w:rsidR="001A1B52" w:rsidRPr="001A1B52" w:rsidRDefault="001A1B52" w:rsidP="001A1B52">
      <w:pPr>
        <w:spacing w:after="0"/>
      </w:pPr>
    </w:p>
    <w:sectPr w:rsidR="001A1B52" w:rsidRPr="001A1B5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A4CE" w14:textId="77777777" w:rsidR="00292D2B" w:rsidRDefault="00292D2B" w:rsidP="00292D2B">
      <w:pPr>
        <w:spacing w:after="0" w:line="240" w:lineRule="auto"/>
      </w:pPr>
      <w:r>
        <w:separator/>
      </w:r>
    </w:p>
  </w:endnote>
  <w:endnote w:type="continuationSeparator" w:id="0">
    <w:p w14:paraId="264CDD52" w14:textId="77777777" w:rsidR="00292D2B" w:rsidRDefault="00292D2B" w:rsidP="00292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95ABB" w14:textId="77777777" w:rsidR="00292D2B" w:rsidRDefault="00292D2B" w:rsidP="00292D2B">
      <w:pPr>
        <w:spacing w:after="0" w:line="240" w:lineRule="auto"/>
      </w:pPr>
      <w:r>
        <w:separator/>
      </w:r>
    </w:p>
  </w:footnote>
  <w:footnote w:type="continuationSeparator" w:id="0">
    <w:p w14:paraId="7F384BD2" w14:textId="77777777" w:rsidR="00292D2B" w:rsidRDefault="00292D2B" w:rsidP="00292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9434C" w14:textId="77777777" w:rsidR="00292D2B" w:rsidRPr="00ED7B71" w:rsidRDefault="00292D2B" w:rsidP="00292D2B">
    <w:pPr>
      <w:tabs>
        <w:tab w:val="center" w:pos="4513"/>
        <w:tab w:val="right" w:pos="9026"/>
      </w:tabs>
      <w:spacing w:before="60" w:after="0" w:line="240" w:lineRule="auto"/>
      <w:rPr>
        <w:kern w:val="0"/>
        <w14:ligatures w14:val="none"/>
      </w:rPr>
    </w:pPr>
    <w:bookmarkStart w:id="0" w:name="_Hlk164947696"/>
    <w:bookmarkStart w:id="1" w:name="_Hlk164947697"/>
    <w:bookmarkStart w:id="2" w:name="_Hlk164947698"/>
    <w:bookmarkStart w:id="3" w:name="_Hlk164947699"/>
    <w:bookmarkStart w:id="4" w:name="_Hlk167288446"/>
    <w:bookmarkStart w:id="5" w:name="_Hlk167288447"/>
    <w:bookmarkStart w:id="6" w:name="_Hlk167288648"/>
    <w:bookmarkStart w:id="7" w:name="_Hlk167288649"/>
    <w:r w:rsidRPr="00ED7B71">
      <w:rPr>
        <w:rFonts w:ascii="Arial" w:hAnsi="Arial" w:cs="Arial"/>
        <w:b/>
        <w:bCs/>
        <w:noProof/>
        <w:kern w:val="0"/>
        <w14:ligatures w14:val="none"/>
      </w:rPr>
      <w:drawing>
        <wp:anchor distT="0" distB="0" distL="114300" distR="114300" simplePos="0" relativeHeight="251660288" behindDoc="0" locked="0" layoutInCell="1" allowOverlap="1" wp14:anchorId="41B7C71A" wp14:editId="425DFA1A">
          <wp:simplePos x="0" y="0"/>
          <wp:positionH relativeFrom="column">
            <wp:posOffset>2400300</wp:posOffset>
          </wp:positionH>
          <wp:positionV relativeFrom="paragraph">
            <wp:posOffset>-224790</wp:posOffset>
          </wp:positionV>
          <wp:extent cx="914400" cy="4229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7B71">
      <w:rPr>
        <w:rFonts w:ascii="Arial" w:hAnsi="Arial" w:cs="Arial"/>
        <w:b/>
        <w:bCs/>
        <w:noProof/>
        <w:kern w:val="0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08021" wp14:editId="6D502CCE">
              <wp:simplePos x="0" y="0"/>
              <wp:positionH relativeFrom="margin">
                <wp:posOffset>0</wp:posOffset>
              </wp:positionH>
              <wp:positionV relativeFrom="paragraph">
                <wp:posOffset>350520</wp:posOffset>
              </wp:positionV>
              <wp:extent cx="5715000" cy="0"/>
              <wp:effectExtent l="0" t="1905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2B95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7349C1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7.6pt" to="450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" strokecolor="#2b9592" strokeweight="2.25pt">
              <v:stroke joinstyle="miter"/>
              <w10:wrap anchorx="margin"/>
            </v:line>
          </w:pict>
        </mc:Fallback>
      </mc:AlternateContent>
    </w:r>
    <w:r w:rsidRPr="00ED7B71">
      <w:rPr>
        <w:rFonts w:ascii="Arial" w:hAnsi="Arial" w:cs="Arial"/>
        <w:b/>
        <w:bCs/>
        <w:noProof/>
        <w:kern w:val="0"/>
        <w14:ligatures w14:val="none"/>
      </w:rPr>
      <w:drawing>
        <wp:anchor distT="0" distB="0" distL="114300" distR="114300" simplePos="0" relativeHeight="251661312" behindDoc="0" locked="0" layoutInCell="1" allowOverlap="1" wp14:anchorId="37D3CB3B" wp14:editId="53285B97">
          <wp:simplePos x="0" y="0"/>
          <wp:positionH relativeFrom="column">
            <wp:posOffset>0</wp:posOffset>
          </wp:positionH>
          <wp:positionV relativeFrom="paragraph">
            <wp:posOffset>-249941</wp:posOffset>
          </wp:positionV>
          <wp:extent cx="1143000" cy="430281"/>
          <wp:effectExtent l="0" t="0" r="0" b="825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3" t="11890" b="7611"/>
                  <a:stretch/>
                </pic:blipFill>
                <pic:spPr bwMode="auto">
                  <a:xfrm>
                    <a:off x="0" y="0"/>
                    <a:ext cx="1149057" cy="4325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7B71">
      <w:rPr>
        <w:rFonts w:ascii="Arial" w:hAnsi="Arial" w:cs="Arial"/>
        <w:b/>
        <w:bCs/>
        <w:noProof/>
        <w:kern w:val="0"/>
        <w14:ligatures w14:val="none"/>
      </w:rPr>
      <w:drawing>
        <wp:anchor distT="0" distB="0" distL="114300" distR="114300" simplePos="0" relativeHeight="251662336" behindDoc="0" locked="0" layoutInCell="1" allowOverlap="1" wp14:anchorId="4E4EA2CB" wp14:editId="39C83803">
          <wp:simplePos x="0" y="0"/>
          <wp:positionH relativeFrom="column">
            <wp:posOffset>4686300</wp:posOffset>
          </wp:positionH>
          <wp:positionV relativeFrom="paragraph">
            <wp:posOffset>-217805</wp:posOffset>
          </wp:positionV>
          <wp:extent cx="1143000" cy="34708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287" b="2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47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bookmarkEnd w:id="4"/>
    <w:bookmarkEnd w:id="5"/>
    <w:bookmarkEnd w:id="6"/>
    <w:bookmarkEnd w:id="7"/>
  </w:p>
  <w:p w14:paraId="09A81BB4" w14:textId="77777777" w:rsidR="00292D2B" w:rsidRDefault="00292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431"/>
    <w:multiLevelType w:val="multilevel"/>
    <w:tmpl w:val="0184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E62105"/>
    <w:multiLevelType w:val="multilevel"/>
    <w:tmpl w:val="0E16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1C33C5"/>
    <w:multiLevelType w:val="hybridMultilevel"/>
    <w:tmpl w:val="9D8CB0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3058E"/>
    <w:multiLevelType w:val="hybridMultilevel"/>
    <w:tmpl w:val="8EB2D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20E8A"/>
    <w:multiLevelType w:val="hybridMultilevel"/>
    <w:tmpl w:val="DA06BE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5F24E3"/>
    <w:multiLevelType w:val="hybridMultilevel"/>
    <w:tmpl w:val="895CF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55FB4"/>
    <w:multiLevelType w:val="hybridMultilevel"/>
    <w:tmpl w:val="1F8EF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D35F0"/>
    <w:multiLevelType w:val="multilevel"/>
    <w:tmpl w:val="CAF0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F51D85"/>
    <w:multiLevelType w:val="hybridMultilevel"/>
    <w:tmpl w:val="C764F2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E18EF"/>
    <w:multiLevelType w:val="hybridMultilevel"/>
    <w:tmpl w:val="9AD8D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465798">
    <w:abstractNumId w:val="5"/>
  </w:num>
  <w:num w:numId="2" w16cid:durableId="1118256454">
    <w:abstractNumId w:val="8"/>
  </w:num>
  <w:num w:numId="3" w16cid:durableId="1501002805">
    <w:abstractNumId w:val="9"/>
  </w:num>
  <w:num w:numId="4" w16cid:durableId="1280409442">
    <w:abstractNumId w:val="2"/>
  </w:num>
  <w:num w:numId="5" w16cid:durableId="1161778101">
    <w:abstractNumId w:val="7"/>
  </w:num>
  <w:num w:numId="6" w16cid:durableId="1270504918">
    <w:abstractNumId w:val="0"/>
  </w:num>
  <w:num w:numId="7" w16cid:durableId="2111777162">
    <w:abstractNumId w:val="1"/>
  </w:num>
  <w:num w:numId="8" w16cid:durableId="314458617">
    <w:abstractNumId w:val="4"/>
  </w:num>
  <w:num w:numId="9" w16cid:durableId="1300258419">
    <w:abstractNumId w:val="3"/>
  </w:num>
  <w:num w:numId="10" w16cid:durableId="1995336661">
    <w:abstractNumId w:val="6"/>
  </w:num>
  <w:num w:numId="11" w16cid:durableId="1962102179">
    <w:abstractNumId w:val="7"/>
  </w:num>
  <w:num w:numId="12" w16cid:durableId="1224875005">
    <w:abstractNumId w:val="0"/>
  </w:num>
  <w:num w:numId="13" w16cid:durableId="1405182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2B"/>
    <w:rsid w:val="000411A2"/>
    <w:rsid w:val="00070A8C"/>
    <w:rsid w:val="000E15CA"/>
    <w:rsid w:val="00174F5B"/>
    <w:rsid w:val="0019611E"/>
    <w:rsid w:val="001A1B52"/>
    <w:rsid w:val="00292D2B"/>
    <w:rsid w:val="002A2E37"/>
    <w:rsid w:val="002B7320"/>
    <w:rsid w:val="002D49C1"/>
    <w:rsid w:val="003A0B4A"/>
    <w:rsid w:val="00445600"/>
    <w:rsid w:val="004471E2"/>
    <w:rsid w:val="0049466B"/>
    <w:rsid w:val="0053188F"/>
    <w:rsid w:val="006060E5"/>
    <w:rsid w:val="00687088"/>
    <w:rsid w:val="006D0961"/>
    <w:rsid w:val="006D3A96"/>
    <w:rsid w:val="006F6B41"/>
    <w:rsid w:val="007206DF"/>
    <w:rsid w:val="0072158D"/>
    <w:rsid w:val="008A2E44"/>
    <w:rsid w:val="009556CB"/>
    <w:rsid w:val="009655A8"/>
    <w:rsid w:val="00980875"/>
    <w:rsid w:val="009D5210"/>
    <w:rsid w:val="00A3271F"/>
    <w:rsid w:val="00AA40AB"/>
    <w:rsid w:val="00AB13EC"/>
    <w:rsid w:val="00C360AE"/>
    <w:rsid w:val="00C410E9"/>
    <w:rsid w:val="00CD746C"/>
    <w:rsid w:val="00D91E8F"/>
    <w:rsid w:val="00DC79E2"/>
    <w:rsid w:val="00E26CE8"/>
    <w:rsid w:val="00E83FB8"/>
    <w:rsid w:val="00EC1D78"/>
    <w:rsid w:val="00F128EF"/>
    <w:rsid w:val="00F34F7E"/>
    <w:rsid w:val="00F82AA8"/>
    <w:rsid w:val="00FD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F7FA4"/>
  <w15:chartTrackingRefBased/>
  <w15:docId w15:val="{6771976E-97DF-4C05-AFDC-3214110C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D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D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D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D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D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D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D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D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D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D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D2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2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D2B"/>
  </w:style>
  <w:style w:type="paragraph" w:styleId="Footer">
    <w:name w:val="footer"/>
    <w:basedOn w:val="Normal"/>
    <w:link w:val="FooterChar"/>
    <w:uiPriority w:val="99"/>
    <w:unhideWhenUsed/>
    <w:rsid w:val="00292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D2B"/>
  </w:style>
  <w:style w:type="table" w:styleId="TableGrid">
    <w:name w:val="Table Grid"/>
    <w:basedOn w:val="TableNormal"/>
    <w:uiPriority w:val="39"/>
    <w:rsid w:val="00687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13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hamconnect.u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z.Metcalfe@oldham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Richards</dc:creator>
  <cp:keywords/>
  <dc:description/>
  <cp:lastModifiedBy>Holly Richards</cp:lastModifiedBy>
  <cp:revision>7</cp:revision>
  <dcterms:created xsi:type="dcterms:W3CDTF">2025-04-14T12:54:00Z</dcterms:created>
  <dcterms:modified xsi:type="dcterms:W3CDTF">2025-05-29T14:04:00Z</dcterms:modified>
</cp:coreProperties>
</file>